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684FB" w14:textId="2E2309DC" w:rsidR="00460FB1" w:rsidRDefault="00DE364E" w:rsidP="00DE364E">
      <w:pPr>
        <w:jc w:val="center"/>
        <w:rPr>
          <w:b/>
          <w:bCs/>
        </w:rPr>
      </w:pPr>
      <w:r>
        <w:rPr>
          <w:b/>
          <w:bCs/>
        </w:rPr>
        <w:t>Abrumado por la bibliografía, Howard Becker, 2011, Manual de escritura para científicos sociales: Cómo empezar y terminar una tesis, un libro o un artículo</w:t>
      </w:r>
      <w:r w:rsidR="00B97BAF">
        <w:rPr>
          <w:b/>
          <w:bCs/>
        </w:rPr>
        <w:t>, cap. 8, pp. 171-187</w:t>
      </w:r>
    </w:p>
    <w:p w14:paraId="113E05D5" w14:textId="2A5EDE27" w:rsidR="00B97BAF" w:rsidRDefault="00B97BAF" w:rsidP="00A3748C">
      <w:pPr>
        <w:jc w:val="both"/>
      </w:pPr>
      <w:r>
        <w:rPr>
          <w:b/>
          <w:bCs/>
        </w:rPr>
        <w:t xml:space="preserve">Nombre: </w:t>
      </w:r>
      <w:commentRangeStart w:id="0"/>
      <w:r>
        <w:t>Leandro Norambuena Bravo</w:t>
      </w:r>
      <w:commentRangeEnd w:id="0"/>
      <w:r w:rsidR="00243696">
        <w:rPr>
          <w:rStyle w:val="Refdecomentario"/>
        </w:rPr>
        <w:commentReference w:id="0"/>
      </w:r>
    </w:p>
    <w:p w14:paraId="147D4F65" w14:textId="7E003DE2" w:rsidR="00B97BAF" w:rsidRDefault="00B97BAF" w:rsidP="00A3748C">
      <w:pPr>
        <w:spacing w:after="0"/>
        <w:jc w:val="both"/>
        <w:rPr>
          <w:b/>
          <w:bCs/>
        </w:rPr>
      </w:pPr>
      <w:r>
        <w:rPr>
          <w:b/>
          <w:bCs/>
        </w:rPr>
        <w:t>Referencia bibliográfica</w:t>
      </w:r>
    </w:p>
    <w:p w14:paraId="63F9FA92" w14:textId="77777777" w:rsidR="00A3748C" w:rsidRDefault="00A3748C" w:rsidP="00A3748C">
      <w:pPr>
        <w:pStyle w:val="Bibliografa"/>
        <w:ind w:left="720" w:hanging="720"/>
        <w:jc w:val="both"/>
        <w:rPr>
          <w:noProof/>
          <w:szCs w:val="24"/>
        </w:rPr>
      </w:pPr>
      <w:r>
        <w:fldChar w:fldCharType="begin"/>
      </w:r>
      <w:r>
        <w:instrText xml:space="preserve"> BIBLIOGRAPHY  \l 13322 </w:instrText>
      </w:r>
      <w:r>
        <w:fldChar w:fldCharType="separate"/>
      </w:r>
      <w:r>
        <w:rPr>
          <w:noProof/>
        </w:rPr>
        <w:t xml:space="preserve">Becker, H. (2011). Abrumado por la bibliografía. En H. Becker, </w:t>
      </w:r>
      <w:r>
        <w:rPr>
          <w:i/>
          <w:iCs/>
          <w:noProof/>
        </w:rPr>
        <w:t>Manual de escritura para científicos sociales: Cómo empezar y terminar una tesis, un libro o un artículo</w:t>
      </w:r>
      <w:r>
        <w:rPr>
          <w:noProof/>
        </w:rPr>
        <w:t xml:space="preserve"> (págs. 171-187). Buenos Aires: Siglo Veintiuno Editores.</w:t>
      </w:r>
    </w:p>
    <w:p w14:paraId="6A52F8EA" w14:textId="6D80578C" w:rsidR="00B97BAF" w:rsidRDefault="00A3748C" w:rsidP="00CE176A">
      <w:pPr>
        <w:spacing w:after="0"/>
        <w:jc w:val="both"/>
        <w:rPr>
          <w:b/>
          <w:bCs/>
        </w:rPr>
      </w:pPr>
      <w:r>
        <w:fldChar w:fldCharType="end"/>
      </w:r>
      <w:r>
        <w:rPr>
          <w:b/>
          <w:bCs/>
        </w:rPr>
        <w:t>Palabras clave</w:t>
      </w:r>
    </w:p>
    <w:p w14:paraId="6FAB7F0E" w14:textId="0B7377BA" w:rsidR="00A3748C" w:rsidRPr="003B2B2F" w:rsidRDefault="003B2B2F" w:rsidP="00A3748C">
      <w:pPr>
        <w:jc w:val="both"/>
      </w:pPr>
      <w:r>
        <w:t>Enfoque teórico; Bibliografía;</w:t>
      </w:r>
      <w:r w:rsidR="00601530">
        <w:t xml:space="preserve"> Autores clásicos</w:t>
      </w:r>
      <w:r w:rsidR="002C3847">
        <w:t>; Textos clásicos</w:t>
      </w:r>
      <w:r w:rsidR="00534300">
        <w:t>; Literatura teórica</w:t>
      </w:r>
    </w:p>
    <w:p w14:paraId="38D63314" w14:textId="14B587E3" w:rsidR="00A3748C" w:rsidRDefault="00A3748C" w:rsidP="00A3748C">
      <w:pPr>
        <w:jc w:val="both"/>
        <w:rPr>
          <w:b/>
          <w:bCs/>
        </w:rPr>
      </w:pPr>
      <w:r>
        <w:rPr>
          <w:b/>
          <w:bCs/>
        </w:rPr>
        <w:t>Síntesis</w:t>
      </w:r>
    </w:p>
    <w:p w14:paraId="00ADA8F8" w14:textId="77777777" w:rsidR="00131E74" w:rsidRDefault="00F67247" w:rsidP="00A3748C">
      <w:pPr>
        <w:jc w:val="both"/>
      </w:pPr>
      <w:r>
        <w:t xml:space="preserve">El capítulo </w:t>
      </w:r>
      <w:r w:rsidR="009112B5">
        <w:t>en cuestión trata, a grandes rasgos, sobre la forma en la que debe ser tomada y/o utilizada la bibliografía</w:t>
      </w:r>
      <w:r w:rsidR="00A516B5">
        <w:t xml:space="preserve">, para no llegar al punto de la bruma bibliográfica (de ahí el nombre del </w:t>
      </w:r>
      <w:r w:rsidR="00B679A1">
        <w:t>apartado).</w:t>
      </w:r>
      <w:r w:rsidR="00BE627F">
        <w:t xml:space="preserve"> </w:t>
      </w:r>
    </w:p>
    <w:p w14:paraId="132ABBFA" w14:textId="5CE3C503" w:rsidR="00A3748C" w:rsidRDefault="00BE627F" w:rsidP="00A3748C">
      <w:pPr>
        <w:jc w:val="both"/>
      </w:pPr>
      <w:r>
        <w:t>Becker (2011)</w:t>
      </w:r>
      <w:r w:rsidR="00C9641A">
        <w:t xml:space="preserve"> comienza dando un </w:t>
      </w:r>
      <w:r w:rsidR="009A2DA7">
        <w:t xml:space="preserve">breve </w:t>
      </w:r>
      <w:r w:rsidR="00C9641A">
        <w:t>repaso por su historia universitaria</w:t>
      </w:r>
      <w:r w:rsidR="009A2DA7">
        <w:t>, para luego pasar de lleno a l</w:t>
      </w:r>
      <w:r w:rsidR="007C258B">
        <w:t xml:space="preserve">os métodos </w:t>
      </w:r>
      <w:r w:rsidR="00243C0C">
        <w:t xml:space="preserve">en los que ocupar la bibliografía, basándose en </w:t>
      </w:r>
      <w:r w:rsidR="00157AA2">
        <w:t xml:space="preserve">un artículo de </w:t>
      </w:r>
      <w:proofErr w:type="spellStart"/>
      <w:r w:rsidR="00157AA2">
        <w:t>Stinchcombe</w:t>
      </w:r>
      <w:proofErr w:type="spellEnd"/>
      <w:r w:rsidR="00DB2EDC">
        <w:t>.</w:t>
      </w:r>
      <w:r w:rsidR="009E789E">
        <w:t xml:space="preserve"> En ese sentido,</w:t>
      </w:r>
      <w:r w:rsidR="003827C8">
        <w:t xml:space="preserve"> asegura que una vez se hayan leído a los </w:t>
      </w:r>
      <w:r w:rsidR="004A5C57">
        <w:t xml:space="preserve">clásicos -o por lo menos sus planteamientos más generales-, </w:t>
      </w:r>
      <w:r w:rsidR="00293AB7">
        <w:t>ya se estará</w:t>
      </w:r>
      <w:r w:rsidR="00025003">
        <w:t xml:space="preserve">n </w:t>
      </w:r>
      <w:r w:rsidR="009B55FE">
        <w:t xml:space="preserve">desarrollando </w:t>
      </w:r>
      <w:r w:rsidR="00025003">
        <w:t xml:space="preserve">los pensamientos propios, tomando como </w:t>
      </w:r>
      <w:r w:rsidR="002C6A95">
        <w:t>cimiento a los autores más emblemáticos</w:t>
      </w:r>
      <w:r w:rsidR="00131E74">
        <w:t xml:space="preserve">, </w:t>
      </w:r>
      <w:r w:rsidR="00E90B66">
        <w:t>creando así lo que él llama “simbolizar la solidaridad entre los integran</w:t>
      </w:r>
      <w:r w:rsidR="00C15C41">
        <w:t xml:space="preserve">tes de un mismo campo” </w:t>
      </w:r>
      <w:sdt>
        <w:sdtPr>
          <w:id w:val="4264634"/>
          <w:citation/>
        </w:sdtPr>
        <w:sdtEndPr/>
        <w:sdtContent>
          <w:r w:rsidR="00C15C41">
            <w:fldChar w:fldCharType="begin"/>
          </w:r>
          <w:r w:rsidR="00C15C41">
            <w:instrText xml:space="preserve">CITATION Bec11 \p 175 \t  \l 13322 </w:instrText>
          </w:r>
          <w:r w:rsidR="00C15C41">
            <w:fldChar w:fldCharType="separate"/>
          </w:r>
          <w:r w:rsidR="00C15C41">
            <w:rPr>
              <w:noProof/>
            </w:rPr>
            <w:t>(Becker, 2011, pág. 175)</w:t>
          </w:r>
          <w:r w:rsidR="00C15C41">
            <w:fldChar w:fldCharType="end"/>
          </w:r>
        </w:sdtContent>
      </w:sdt>
      <w:r w:rsidR="00157F66">
        <w:t xml:space="preserve">. </w:t>
      </w:r>
      <w:r w:rsidR="00B03FE1">
        <w:t>Con lo anterio</w:t>
      </w:r>
      <w:r w:rsidR="00A0172C">
        <w:t>r</w:t>
      </w:r>
      <w:r w:rsidR="00B03FE1">
        <w:t xml:space="preserve"> dicho, plantea que </w:t>
      </w:r>
      <w:r w:rsidR="00180C49">
        <w:t xml:space="preserve">estos mismos autores </w:t>
      </w:r>
      <w:r w:rsidR="004D2853">
        <w:t>ya</w:t>
      </w:r>
      <w:r w:rsidR="00180C49">
        <w:t xml:space="preserve"> revisados, servirán como “piedra de toque”</w:t>
      </w:r>
      <w:r w:rsidR="004B60C6">
        <w:t xml:space="preserve">, </w:t>
      </w:r>
      <w:r w:rsidR="00601151">
        <w:t xml:space="preserve">refiriéndose a que </w:t>
      </w:r>
      <w:r w:rsidR="002003C3">
        <w:t xml:space="preserve">los trabajos previos </w:t>
      </w:r>
      <w:r w:rsidR="00335F81">
        <w:t>cumplirán la función de una suerte</w:t>
      </w:r>
      <w:r w:rsidR="002003C3">
        <w:t xml:space="preserve"> de guía para los estudios venideros</w:t>
      </w:r>
      <w:r w:rsidR="00B06DE1">
        <w:t xml:space="preserve">, abriendo camino </w:t>
      </w:r>
      <w:r w:rsidR="00B62AB9">
        <w:t>en pos de un buen quehacer académico</w:t>
      </w:r>
      <w:r w:rsidR="00A4250A">
        <w:t>, pero señala</w:t>
      </w:r>
      <w:r w:rsidR="00A14FCB">
        <w:t xml:space="preserve"> que si bien este es un buen método con el cual utilizar la bibliografía, </w:t>
      </w:r>
      <w:r w:rsidR="00410BF8">
        <w:t xml:space="preserve">“la actividad académica científica y humanista es, tanto en los hecho como en la teoría, un emprendimiento acumulativo” </w:t>
      </w:r>
      <w:sdt>
        <w:sdtPr>
          <w:id w:val="738220205"/>
          <w:citation/>
        </w:sdtPr>
        <w:sdtEndPr/>
        <w:sdtContent>
          <w:r w:rsidR="00410BF8">
            <w:fldChar w:fldCharType="begin"/>
          </w:r>
          <w:r w:rsidR="00410BF8">
            <w:rPr>
              <w:lang w:val="es-MX"/>
            </w:rPr>
            <w:instrText xml:space="preserve">CITATION Bec11 \p 177 \l 2058 </w:instrText>
          </w:r>
          <w:r w:rsidR="00410BF8">
            <w:fldChar w:fldCharType="separate"/>
          </w:r>
          <w:r w:rsidR="00410BF8">
            <w:rPr>
              <w:noProof/>
              <w:lang w:val="es-MX"/>
            </w:rPr>
            <w:t>(Becker, 2011, pág. 177)</w:t>
          </w:r>
          <w:r w:rsidR="00410BF8">
            <w:fldChar w:fldCharType="end"/>
          </w:r>
        </w:sdtContent>
      </w:sdt>
      <w:r w:rsidR="00AC6C3D">
        <w:t xml:space="preserve">, apuntando a realizar un trabajo </w:t>
      </w:r>
      <w:r w:rsidR="00DA4C37">
        <w:t>basado en el apoyo</w:t>
      </w:r>
      <w:r w:rsidR="00945E21">
        <w:t xml:space="preserve"> </w:t>
      </w:r>
      <w:r w:rsidR="00562577">
        <w:t>en textos</w:t>
      </w:r>
      <w:r w:rsidR="003C5929">
        <w:t xml:space="preserve"> y no en un</w:t>
      </w:r>
      <w:r w:rsidR="00572DA0">
        <w:t>a copia</w:t>
      </w:r>
      <w:r w:rsidR="003C5929">
        <w:t xml:space="preserve"> como tal</w:t>
      </w:r>
      <w:r w:rsidR="00562577">
        <w:t xml:space="preserve">, lo que Kuhn </w:t>
      </w:r>
      <w:r w:rsidR="00353CE5">
        <w:t>determina como</w:t>
      </w:r>
      <w:r w:rsidR="00562577">
        <w:t xml:space="preserve"> “ciencia normal”</w:t>
      </w:r>
      <w:r w:rsidR="006C55A6">
        <w:t>.</w:t>
      </w:r>
    </w:p>
    <w:p w14:paraId="42224C22" w14:textId="624E641A" w:rsidR="00A47851" w:rsidRDefault="00FE5061" w:rsidP="00FE5061">
      <w:pPr>
        <w:ind w:left="680" w:right="680"/>
        <w:jc w:val="both"/>
      </w:pPr>
      <w:r>
        <w:t>“</w:t>
      </w:r>
      <w:r w:rsidR="00A47851">
        <w:t>¿Existen maneras eficaces de usar bibliografía? Por su puesto. En primer lugar, los académicos deben decir algo nuevo cuando conectan lo que ellos dicen con lo que ya se ha dicho</w:t>
      </w:r>
      <w:r>
        <w:t xml:space="preserve"> y deben hacerlo de manera tal que la gente lo comprenda”</w:t>
      </w:r>
      <w:sdt>
        <w:sdtPr>
          <w:id w:val="-1368289158"/>
          <w:citation/>
        </w:sdtPr>
        <w:sdtEndPr/>
        <w:sdtContent>
          <w:r>
            <w:fldChar w:fldCharType="begin"/>
          </w:r>
          <w:r>
            <w:rPr>
              <w:lang w:val="es-MX"/>
            </w:rPr>
            <w:instrText xml:space="preserve">CITATION Bec11 \p 178 \l 2058 </w:instrText>
          </w:r>
          <w:r>
            <w:fldChar w:fldCharType="separate"/>
          </w:r>
          <w:r>
            <w:rPr>
              <w:noProof/>
              <w:lang w:val="es-MX"/>
            </w:rPr>
            <w:t xml:space="preserve"> (Becker, 2011, pág. 178)</w:t>
          </w:r>
          <w:r>
            <w:fldChar w:fldCharType="end"/>
          </w:r>
        </w:sdtContent>
      </w:sdt>
    </w:p>
    <w:p w14:paraId="74631A2D" w14:textId="38FE2504" w:rsidR="00F11FE6" w:rsidRPr="00F67247" w:rsidRDefault="00F11FE6" w:rsidP="00A0688A">
      <w:pPr>
        <w:jc w:val="both"/>
      </w:pPr>
      <w:r>
        <w:t xml:space="preserve">Sin embargo, Becker </w:t>
      </w:r>
      <w:r w:rsidR="008C3B97">
        <w:t xml:space="preserve">(2011) de igual forma menciona que esta </w:t>
      </w:r>
      <w:r w:rsidR="00607F4B">
        <w:t xml:space="preserve">manera </w:t>
      </w:r>
      <w:r w:rsidR="008C3B97">
        <w:t xml:space="preserve">de utilizar la bibliografía tiene sus </w:t>
      </w:r>
      <w:r w:rsidR="00607F4B">
        <w:t>desventajas</w:t>
      </w:r>
      <w:r w:rsidR="000B525F">
        <w:t xml:space="preserve">, </w:t>
      </w:r>
      <w:r w:rsidR="00353CE5">
        <w:t xml:space="preserve">señalando que “el lado malo es que, si le prestamos demasiada atención, podemos </w:t>
      </w:r>
      <w:r w:rsidR="00B114F7">
        <w:t>deformar la argumentación que deseamos hacer” (pág. 184)</w:t>
      </w:r>
      <w:r w:rsidR="00003973">
        <w:t xml:space="preserve">, alterando nuestro propio aporte </w:t>
      </w:r>
      <w:r w:rsidR="00A23BA7">
        <w:t>a la investigación</w:t>
      </w:r>
      <w:r w:rsidR="00A36191">
        <w:t>, o, si se da la situación donde se adaptan los conceptos</w:t>
      </w:r>
      <w:r w:rsidR="004721A6">
        <w:t xml:space="preserve"> al estudio</w:t>
      </w:r>
      <w:r w:rsidR="00A36191">
        <w:t xml:space="preserve">, estos perderán su valor </w:t>
      </w:r>
      <w:r w:rsidR="004721A6">
        <w:t xml:space="preserve">teórico, distorsionando su </w:t>
      </w:r>
      <w:r w:rsidR="006321F7">
        <w:t>raíz.</w:t>
      </w:r>
      <w:r w:rsidR="00197E13">
        <w:t xml:space="preserve"> Por lo tanto,</w:t>
      </w:r>
      <w:r w:rsidR="00D71B4E">
        <w:t xml:space="preserve"> la mejor solución que Becker (2011)</w:t>
      </w:r>
      <w:r w:rsidR="00AC3B47">
        <w:t xml:space="preserve"> encuentra </w:t>
      </w:r>
      <w:r w:rsidR="007C1694">
        <w:t xml:space="preserve">es </w:t>
      </w:r>
      <w:r w:rsidR="00AC3B47">
        <w:t xml:space="preserve">“(…) </w:t>
      </w:r>
      <w:r w:rsidR="00197E13">
        <w:t>reconocer la ideología dominante (…)</w:t>
      </w:r>
      <w:r w:rsidR="00B13AE9">
        <w:t>, buscar su componente ideológico, y tratar de encont</w:t>
      </w:r>
      <w:r w:rsidR="00E53A0E">
        <w:t xml:space="preserve">rar un enfoque científico más neutral del problema” </w:t>
      </w:r>
      <w:r w:rsidR="00AC3B47">
        <w:t>(pág. 186)</w:t>
      </w:r>
      <w:r w:rsidR="009F1E04">
        <w:t>.</w:t>
      </w:r>
    </w:p>
    <w:p w14:paraId="0B8E1145" w14:textId="05D30604" w:rsidR="00A3748C" w:rsidRDefault="00A3748C" w:rsidP="00A3748C">
      <w:pPr>
        <w:spacing w:after="0"/>
        <w:jc w:val="both"/>
        <w:rPr>
          <w:b/>
          <w:bCs/>
        </w:rPr>
      </w:pPr>
      <w:r>
        <w:rPr>
          <w:b/>
          <w:bCs/>
        </w:rPr>
        <w:lastRenderedPageBreak/>
        <w:t>Comentario</w:t>
      </w:r>
    </w:p>
    <w:p w14:paraId="0B9A75EA" w14:textId="1F6A5F68" w:rsidR="00A3748C" w:rsidRDefault="00A3748C" w:rsidP="00A3748C">
      <w:pPr>
        <w:jc w:val="both"/>
        <w:rPr>
          <w:i/>
          <w:iCs/>
        </w:rPr>
      </w:pPr>
      <w:r w:rsidRPr="00A3748C">
        <w:rPr>
          <w:i/>
          <w:iCs/>
        </w:rPr>
        <w:t>¿Cuál es el espacio para la creatividad del investigador o la investigadora en la revisión de la bibliografía?</w:t>
      </w:r>
    </w:p>
    <w:p w14:paraId="4EDACCDB" w14:textId="4BFDC73D" w:rsidR="00A3748C" w:rsidRDefault="00DD6498" w:rsidP="00A3748C">
      <w:pPr>
        <w:jc w:val="both"/>
      </w:pPr>
      <w:r>
        <w:t>Dentro del texto existe</w:t>
      </w:r>
      <w:r w:rsidR="000648B7">
        <w:t>n un par de oraciones</w:t>
      </w:r>
      <w:r>
        <w:t xml:space="preserve"> que refleja</w:t>
      </w:r>
      <w:r w:rsidR="000648B7">
        <w:t>n</w:t>
      </w:r>
      <w:r>
        <w:t xml:space="preserve"> muy bien lo que el autor pretender decir al respecto de la </w:t>
      </w:r>
      <w:r w:rsidR="00E3699C">
        <w:t>creatividad del investigador o la investigadora</w:t>
      </w:r>
      <w:r w:rsidR="00E21816">
        <w:t>, la cual sostiene a lo largo de t</w:t>
      </w:r>
      <w:r w:rsidR="000648B7">
        <w:t>odo el escrito</w:t>
      </w:r>
      <w:r w:rsidR="00E3699C">
        <w:t>:</w:t>
      </w:r>
    </w:p>
    <w:p w14:paraId="0F7A5AFB" w14:textId="0533B420" w:rsidR="00407172" w:rsidRDefault="00407172" w:rsidP="00344767">
      <w:pPr>
        <w:ind w:left="680" w:right="680"/>
        <w:jc w:val="both"/>
      </w:pPr>
      <w:r>
        <w:t>“Una buena manera de probar su originalidad es vincular su idea a una tradición cuya literatura ya haya sido explorada</w:t>
      </w:r>
      <w:r w:rsidR="00EE2F61">
        <w:t>. Relacionar su trabajo a una estrella bien investigada académicamente lo ayudará</w:t>
      </w:r>
      <w:r w:rsidR="00AA6EF6">
        <w:t xml:space="preserve"> a comprobar que no está rehaciendo algo que ya se ha hecho”</w:t>
      </w:r>
      <w:sdt>
        <w:sdtPr>
          <w:id w:val="1181625950"/>
          <w:citation/>
        </w:sdtPr>
        <w:sdtEndPr/>
        <w:sdtContent>
          <w:r w:rsidR="00AA6EF6">
            <w:fldChar w:fldCharType="begin"/>
          </w:r>
          <w:r w:rsidR="00AA6EF6">
            <w:instrText xml:space="preserve">CITATION Bec11 \p 174 \t  \l 13322 </w:instrText>
          </w:r>
          <w:r w:rsidR="00AA6EF6">
            <w:fldChar w:fldCharType="separate"/>
          </w:r>
          <w:r w:rsidR="00AA6EF6">
            <w:rPr>
              <w:noProof/>
            </w:rPr>
            <w:t xml:space="preserve"> (Becker, 2011, pág. 174)</w:t>
          </w:r>
          <w:r w:rsidR="00AA6EF6">
            <w:fldChar w:fldCharType="end"/>
          </w:r>
        </w:sdtContent>
      </w:sdt>
    </w:p>
    <w:p w14:paraId="2B91DC82" w14:textId="2E782A5B" w:rsidR="00E3699C" w:rsidRDefault="006354CA" w:rsidP="00E3699C">
      <w:pPr>
        <w:jc w:val="both"/>
      </w:pPr>
      <w:r>
        <w:t xml:space="preserve">Si bien </w:t>
      </w:r>
      <w:r w:rsidR="005951C8">
        <w:t>se podría entender</w:t>
      </w:r>
      <w:r w:rsidR="00495700">
        <w:t xml:space="preserve"> </w:t>
      </w:r>
      <w:r w:rsidR="005951C8">
        <w:t xml:space="preserve">que hay que </w:t>
      </w:r>
      <w:r w:rsidR="00483455">
        <w:t xml:space="preserve">reflejar en la investigación a </w:t>
      </w:r>
      <w:r w:rsidR="005951C8">
        <w:t>algún clásico</w:t>
      </w:r>
      <w:r w:rsidR="00483455">
        <w:t xml:space="preserve">, </w:t>
      </w:r>
      <w:r w:rsidR="00AB6493">
        <w:t>verdaderamente se refiere a lo opuesto; señala que al momento de conocer a algún autor que ya haya trabajado en</w:t>
      </w:r>
      <w:r w:rsidR="00603D2D">
        <w:t xml:space="preserve"> algún tema similar, esto permitirá dilucidar los </w:t>
      </w:r>
      <w:r w:rsidR="00D12FB0">
        <w:t xml:space="preserve">tópicos que no logra incluir, y por lo tanto, los que están a libre disposición para </w:t>
      </w:r>
      <w:r w:rsidR="001C4022">
        <w:t>llevar a cabo los respectivos estudios</w:t>
      </w:r>
      <w:r w:rsidR="006340F7">
        <w:t>, de tal manera que se pued</w:t>
      </w:r>
      <w:r w:rsidR="000F3540">
        <w:t>a aumentar el radio de estudio a raíz de una bibliografía específica</w:t>
      </w:r>
      <w:r w:rsidR="00FA3778">
        <w:t>:</w:t>
      </w:r>
      <w:r w:rsidR="000F3540">
        <w:t xml:space="preserve"> </w:t>
      </w:r>
      <w:r w:rsidR="00FA3778">
        <w:t xml:space="preserve">“Hacer un buen trabajo que otros puedan usar, y de ese modo aumentar el conocimiento y la comprensión” </w:t>
      </w:r>
      <w:sdt>
        <w:sdtPr>
          <w:id w:val="2117018756"/>
          <w:citation/>
        </w:sdtPr>
        <w:sdtEndPr/>
        <w:sdtContent>
          <w:r w:rsidR="00FA3778">
            <w:fldChar w:fldCharType="begin"/>
          </w:r>
          <w:r w:rsidR="00FA3778">
            <w:instrText xml:space="preserve">CITATION Bec11 \p 178 \l 13322 </w:instrText>
          </w:r>
          <w:r w:rsidR="00FA3778">
            <w:fldChar w:fldCharType="separate"/>
          </w:r>
          <w:r w:rsidR="00FA3778">
            <w:rPr>
              <w:noProof/>
            </w:rPr>
            <w:t>(Becker, 2011, pág. 178)</w:t>
          </w:r>
          <w:r w:rsidR="00FA3778">
            <w:fldChar w:fldCharType="end"/>
          </w:r>
        </w:sdtContent>
      </w:sdt>
      <w:r w:rsidR="00EB20D0">
        <w:t>.</w:t>
      </w:r>
    </w:p>
    <w:p w14:paraId="641DF36D" w14:textId="1007399F" w:rsidR="00EB20D0" w:rsidRDefault="001810C0" w:rsidP="00E3699C">
      <w:pPr>
        <w:jc w:val="both"/>
      </w:pPr>
      <w:r>
        <w:t xml:space="preserve">Por lo tanto, </w:t>
      </w:r>
      <w:r w:rsidR="00BD64E1">
        <w:t xml:space="preserve">aunque </w:t>
      </w:r>
      <w:r>
        <w:t>la originalidad investigativa puede aparentar estar muy</w:t>
      </w:r>
      <w:r w:rsidR="00672AE9">
        <w:t xml:space="preserve"> sujeta </w:t>
      </w:r>
      <w:r w:rsidR="00863B11">
        <w:t xml:space="preserve">y cuestionada </w:t>
      </w:r>
      <w:r w:rsidR="0035721F">
        <w:t>por</w:t>
      </w:r>
      <w:r w:rsidR="00672AE9">
        <w:t xml:space="preserve"> trabajos investigativos previos</w:t>
      </w:r>
      <w:r w:rsidR="00863B11">
        <w:t xml:space="preserve">, lo que Becker (2011) </w:t>
      </w:r>
      <w:r w:rsidR="00BD64E1">
        <w:t xml:space="preserve">procura </w:t>
      </w:r>
      <w:r w:rsidR="00153F4E">
        <w:t xml:space="preserve">demostrar es que se debe usar esta misma herramienta -la de búsqueda de bibliografías- en </w:t>
      </w:r>
      <w:r w:rsidR="00541F72">
        <w:t>pos del</w:t>
      </w:r>
      <w:r w:rsidR="00F17D94">
        <w:t xml:space="preserve"> proceso</w:t>
      </w:r>
      <w:r w:rsidR="00041558">
        <w:t xml:space="preserve"> </w:t>
      </w:r>
      <w:r w:rsidR="004644B1">
        <w:t>creativo</w:t>
      </w:r>
      <w:r w:rsidR="00041558">
        <w:t xml:space="preserve"> de un estudio investigativo</w:t>
      </w:r>
      <w:r w:rsidR="004644B1">
        <w:t xml:space="preserve">, verificando con los propios textos encontrados </w:t>
      </w:r>
      <w:r w:rsidR="0030659F">
        <w:t xml:space="preserve">si el tema por el que se optó ya ha sido manipulado </w:t>
      </w:r>
      <w:r w:rsidR="00F17D94">
        <w:t>con anterioridad</w:t>
      </w:r>
      <w:r w:rsidR="00413AD7">
        <w:t xml:space="preserve">. Además, hace un sutil llamado a </w:t>
      </w:r>
      <w:r w:rsidR="00C520DF">
        <w:t xml:space="preserve">dejar de </w:t>
      </w:r>
      <w:r w:rsidR="00466B25">
        <w:t xml:space="preserve">tipificar </w:t>
      </w:r>
      <w:r w:rsidR="00B07189">
        <w:t>negativamente</w:t>
      </w:r>
      <w:r w:rsidR="00466B25">
        <w:t xml:space="preserve"> </w:t>
      </w:r>
      <w:r w:rsidR="00713D34">
        <w:t xml:space="preserve">la utilización </w:t>
      </w:r>
      <w:r w:rsidR="00B07189">
        <w:t xml:space="preserve">de términos, conceptos y/o citas de autores </w:t>
      </w:r>
      <w:r w:rsidR="00F967E3">
        <w:t xml:space="preserve">para </w:t>
      </w:r>
      <w:r w:rsidR="00AA3B61">
        <w:t xml:space="preserve">los trabajos investigativos, haciendo </w:t>
      </w:r>
      <w:r w:rsidR="004D54F1">
        <w:t>analogía con</w:t>
      </w:r>
      <w:r w:rsidR="00F707DD">
        <w:t xml:space="preserve"> una mesa: “Si necesito una idea para la mesa que estoy construyendo, la uso. Seguirá siendo mi mesa, aunque algunas de sus partes sean prefabricadas</w:t>
      </w:r>
      <w:r w:rsidR="00584F88">
        <w:t xml:space="preserve">” </w:t>
      </w:r>
      <w:sdt>
        <w:sdtPr>
          <w:id w:val="-225529355"/>
          <w:citation/>
        </w:sdtPr>
        <w:sdtEndPr/>
        <w:sdtContent>
          <w:r w:rsidR="00584F88">
            <w:fldChar w:fldCharType="begin"/>
          </w:r>
          <w:r w:rsidR="00584F88">
            <w:instrText xml:space="preserve">CITATION Bec11 \p 181 \l 13322 </w:instrText>
          </w:r>
          <w:r w:rsidR="00584F88">
            <w:fldChar w:fldCharType="separate"/>
          </w:r>
          <w:r w:rsidR="00584F88">
            <w:rPr>
              <w:noProof/>
            </w:rPr>
            <w:t>(Becker, 2011, pág. 181)</w:t>
          </w:r>
          <w:r w:rsidR="00584F88">
            <w:fldChar w:fldCharType="end"/>
          </w:r>
        </w:sdtContent>
      </w:sdt>
      <w:r w:rsidR="00741E61">
        <w:t xml:space="preserve">. </w:t>
      </w:r>
    </w:p>
    <w:p w14:paraId="47832E7B" w14:textId="5D9D62F5" w:rsidR="00A3748C" w:rsidRDefault="00527200" w:rsidP="00A3748C">
      <w:pPr>
        <w:jc w:val="both"/>
      </w:pPr>
      <w:proofErr w:type="gramStart"/>
      <w:r>
        <w:t>Finalmente</w:t>
      </w:r>
      <w:proofErr w:type="gramEnd"/>
      <w:r w:rsidR="00741E61">
        <w:t xml:space="preserve"> para concluir</w:t>
      </w:r>
      <w:r w:rsidR="00B25325">
        <w:t>,</w:t>
      </w:r>
      <w:r w:rsidR="00741E61">
        <w:t xml:space="preserve"> en poca palabras, </w:t>
      </w:r>
      <w:r w:rsidR="00550CAA">
        <w:t xml:space="preserve">según el autor, </w:t>
      </w:r>
      <w:r>
        <w:t xml:space="preserve">la utilización de bibliografía no reduce </w:t>
      </w:r>
      <w:r w:rsidR="00550CAA">
        <w:t xml:space="preserve">considerablemente la creatividad </w:t>
      </w:r>
      <w:r w:rsidR="00BF7114">
        <w:t xml:space="preserve">del investigador o investigadora, por el contrario, colabora en </w:t>
      </w:r>
      <w:r w:rsidR="00400A99">
        <w:t>la construcción</w:t>
      </w:r>
      <w:r w:rsidR="00B25325">
        <w:t xml:space="preserve"> del tema.</w:t>
      </w:r>
    </w:p>
    <w:p w14:paraId="79EA3D0C" w14:textId="1F1DDC3B" w:rsidR="002F11BB" w:rsidRDefault="002F11BB" w:rsidP="00A3748C">
      <w:pPr>
        <w:jc w:val="both"/>
        <w:rPr>
          <w:b/>
          <w:bCs/>
        </w:rPr>
      </w:pPr>
      <w:r>
        <w:rPr>
          <w:b/>
          <w:bCs/>
        </w:rPr>
        <w:t>Citas</w:t>
      </w:r>
    </w:p>
    <w:p w14:paraId="579681B3" w14:textId="20204ECE" w:rsidR="003705CC" w:rsidRDefault="00FA101C" w:rsidP="00A3748C">
      <w:pPr>
        <w:jc w:val="both"/>
      </w:pPr>
      <w:r>
        <w:t>“</w:t>
      </w:r>
      <w:r w:rsidR="00751A88">
        <w:t xml:space="preserve">Como fuente de ideas fundamentales, los clásicos son muy importantes en las etapas iniciales de un proyecto; pero cuando uno empieza </w:t>
      </w:r>
      <w:r w:rsidR="00464C85">
        <w:t xml:space="preserve">a escribir ya debe conocer sus ideas fundamentales” </w:t>
      </w:r>
      <w:r w:rsidR="00517D53">
        <w:t>(pág. 175)</w:t>
      </w:r>
    </w:p>
    <w:p w14:paraId="127C023D" w14:textId="480AF736" w:rsidR="007A3558" w:rsidRDefault="007A3558" w:rsidP="00A3748C">
      <w:pPr>
        <w:jc w:val="both"/>
      </w:pPr>
      <w:r>
        <w:t xml:space="preserve">“(…) el análisis convencional de la bibliografía aporta evidencia de las lealtades del autor, pero los autores </w:t>
      </w:r>
      <w:r w:rsidR="00F97303">
        <w:t>serían más escuetos y menos obsesivos si ese fuera su propósito principal” (pág. 177)</w:t>
      </w:r>
    </w:p>
    <w:p w14:paraId="67BAA1D0" w14:textId="483754C0" w:rsidR="008903A4" w:rsidRDefault="008903A4" w:rsidP="00A3748C">
      <w:pPr>
        <w:jc w:val="both"/>
      </w:pPr>
      <w:r>
        <w:t>“Está bien querer alcanzar las estrellas, pero tendríamos que apreciar como corresponde aquello que es humanamente posible” (pág</w:t>
      </w:r>
      <w:r w:rsidR="00AE4A09">
        <w:t>. 178)</w:t>
      </w:r>
    </w:p>
    <w:p w14:paraId="0DBB2085" w14:textId="2620294C" w:rsidR="00AE4A09" w:rsidRDefault="00AE4A09" w:rsidP="00A3748C">
      <w:pPr>
        <w:jc w:val="both"/>
      </w:pPr>
      <w:r>
        <w:lastRenderedPageBreak/>
        <w:t xml:space="preserve">“Cuando usted intenta confrontar el enfoque dominante con este material, comienza a </w:t>
      </w:r>
      <w:r w:rsidR="00B91FB9">
        <w:t xml:space="preserve">traducir su argumentación a los términos de aquel. Su argumentación no </w:t>
      </w:r>
      <w:r w:rsidR="004B1357">
        <w:t>tendrá</w:t>
      </w:r>
      <w:r w:rsidR="00B91FB9">
        <w:t xml:space="preserve"> la misma clase de sentido que tenía en sus propios </w:t>
      </w:r>
      <w:proofErr w:type="gramStart"/>
      <w:r w:rsidR="00B91FB9">
        <w:t xml:space="preserve">términos </w:t>
      </w:r>
      <w:r w:rsidR="004B1357">
        <w:t>;</w:t>
      </w:r>
      <w:proofErr w:type="gramEnd"/>
      <w:r w:rsidR="004B1357">
        <w:t xml:space="preserve"> sonará débil y desarticulada” (pág. 184)</w:t>
      </w:r>
    </w:p>
    <w:p w14:paraId="3ADD0873" w14:textId="225F22B8" w:rsidR="004B1357" w:rsidRDefault="00C07B94" w:rsidP="00A3748C">
      <w:pPr>
        <w:jc w:val="both"/>
      </w:pPr>
      <w:r>
        <w:t>“Es imposible que muestre sus mejores dotes jugando el juego del oponente” (pág. 184)</w:t>
      </w:r>
    </w:p>
    <w:p w14:paraId="36C3A4BE" w14:textId="19569CEE" w:rsidR="00B04B0E" w:rsidRDefault="00B04B0E" w:rsidP="00A3748C">
      <w:pPr>
        <w:jc w:val="both"/>
      </w:pPr>
      <w:r>
        <w:t>“</w:t>
      </w:r>
      <w:r w:rsidR="00035A96">
        <w:t>La</w:t>
      </w:r>
      <w:r>
        <w:t xml:space="preserve"> comprensión que usted intenta expresar perderá coherencia si la pone en términos surgidos de una comprensión diferente</w:t>
      </w:r>
      <w:r w:rsidR="00035A96">
        <w:t xml:space="preserve">. </w:t>
      </w:r>
      <w:r w:rsidR="00FD3BA8">
        <w:tab/>
      </w:r>
      <w:r w:rsidR="00FD3BA8">
        <w:tab/>
      </w:r>
      <w:r w:rsidR="00FD3BA8">
        <w:tab/>
      </w:r>
      <w:r w:rsidR="00FD3BA8">
        <w:tab/>
      </w:r>
      <w:r w:rsidR="00035A96">
        <w:t xml:space="preserve">Si, por el contrario, usted traduce </w:t>
      </w:r>
      <w:r w:rsidR="00183CE6">
        <w:t xml:space="preserve">la argumentación dominante a sus propios términos, no le dará </w:t>
      </w:r>
      <w:r w:rsidR="00207C1B">
        <w:t>un uso justo. Casi por las mismas razones”</w:t>
      </w:r>
      <w:r w:rsidR="00FD3BA8">
        <w:t xml:space="preserve"> (pág. 184)</w:t>
      </w:r>
    </w:p>
    <w:p w14:paraId="2ACF0E95" w14:textId="274B903F" w:rsidR="006C7C30" w:rsidRDefault="006C7C30" w:rsidP="00A3748C">
      <w:pPr>
        <w:jc w:val="both"/>
      </w:pPr>
      <w:r>
        <w:t>“La bibliografía tiene sobre usted la ventaja de lo que a veces se llama hegemonía ideológica</w:t>
      </w:r>
      <w:r w:rsidR="008A0FA9">
        <w:t xml:space="preserve"> (…) Su ideología controla el pensamiento de los lectores acerca del tema</w:t>
      </w:r>
      <w:r>
        <w:t>” (pág. 185)</w:t>
      </w:r>
    </w:p>
    <w:p w14:paraId="18E97809" w14:textId="1E8E3D52" w:rsidR="001144E4" w:rsidRDefault="001144E4" w:rsidP="00A3748C">
      <w:pPr>
        <w:jc w:val="both"/>
      </w:pPr>
      <w:r>
        <w:t>“La sensación de no poder decir lo que deseamos en el lenguaje que estamos usando es la mejor advertencia de que la bibliografía no está abrumando” (</w:t>
      </w:r>
      <w:r w:rsidR="002941BD">
        <w:t>págs. 186-187)</w:t>
      </w:r>
    </w:p>
    <w:p w14:paraId="51D33E51" w14:textId="2DACD8F2" w:rsidR="002941BD" w:rsidRPr="003705CC" w:rsidRDefault="002941BD" w:rsidP="00A3748C">
      <w:pPr>
        <w:jc w:val="both"/>
      </w:pPr>
      <w:r>
        <w:t>“Use la bibliografía, no deje que la bibliografía lo use a usted” (pág. 187)</w:t>
      </w:r>
    </w:p>
    <w:sectPr w:rsidR="002941BD" w:rsidRPr="003705CC">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UDIO DUARTE" w:date="2021-11-10T19:05:00Z" w:initials="CD">
    <w:p w14:paraId="0AE42BDB" w14:textId="7F5A1734" w:rsidR="00243696" w:rsidRDefault="00243696">
      <w:pPr>
        <w:pStyle w:val="Textocomentario"/>
      </w:pPr>
      <w:r>
        <w:rPr>
          <w:rStyle w:val="Refdecomentario"/>
        </w:rPr>
        <w:annotationRef/>
      </w:r>
      <w:r>
        <w:t>Muy buen trabajo. NOTA: 7.0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AE42BD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6967B" w16cex:dateUtc="2021-11-10T22: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AE42BDB" w16cid:durableId="2536967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O DUARTE">
    <w15:presenceInfo w15:providerId="None" w15:userId="CLAUDIO DUA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64E"/>
    <w:rsid w:val="00003973"/>
    <w:rsid w:val="00025003"/>
    <w:rsid w:val="00035A96"/>
    <w:rsid w:val="00041558"/>
    <w:rsid w:val="000648B7"/>
    <w:rsid w:val="000A7503"/>
    <w:rsid w:val="000B525F"/>
    <w:rsid w:val="000F3540"/>
    <w:rsid w:val="001144E4"/>
    <w:rsid w:val="00131E74"/>
    <w:rsid w:val="00153F4E"/>
    <w:rsid w:val="00157AA2"/>
    <w:rsid w:val="00157F66"/>
    <w:rsid w:val="00180C49"/>
    <w:rsid w:val="001810C0"/>
    <w:rsid w:val="00183CE6"/>
    <w:rsid w:val="00197E13"/>
    <w:rsid w:val="001C3FA0"/>
    <w:rsid w:val="001C4022"/>
    <w:rsid w:val="002003C3"/>
    <w:rsid w:val="00207C1B"/>
    <w:rsid w:val="00243696"/>
    <w:rsid w:val="00243C0C"/>
    <w:rsid w:val="00293AB7"/>
    <w:rsid w:val="002941BD"/>
    <w:rsid w:val="002C3847"/>
    <w:rsid w:val="002C6A95"/>
    <w:rsid w:val="002F11BB"/>
    <w:rsid w:val="0030659F"/>
    <w:rsid w:val="00335F81"/>
    <w:rsid w:val="00344767"/>
    <w:rsid w:val="00353CE5"/>
    <w:rsid w:val="0035721F"/>
    <w:rsid w:val="003705CC"/>
    <w:rsid w:val="003827C8"/>
    <w:rsid w:val="003B2B2F"/>
    <w:rsid w:val="003C5929"/>
    <w:rsid w:val="00400A99"/>
    <w:rsid w:val="00407172"/>
    <w:rsid w:val="00410BF8"/>
    <w:rsid w:val="00413AD7"/>
    <w:rsid w:val="00443077"/>
    <w:rsid w:val="00460FB1"/>
    <w:rsid w:val="004644B1"/>
    <w:rsid w:val="00464C85"/>
    <w:rsid w:val="00466B25"/>
    <w:rsid w:val="00471998"/>
    <w:rsid w:val="004721A6"/>
    <w:rsid w:val="00483455"/>
    <w:rsid w:val="00495700"/>
    <w:rsid w:val="004A5C57"/>
    <w:rsid w:val="004B1357"/>
    <w:rsid w:val="004B60C6"/>
    <w:rsid w:val="004D2853"/>
    <w:rsid w:val="004D54F1"/>
    <w:rsid w:val="00517D53"/>
    <w:rsid w:val="00527200"/>
    <w:rsid w:val="00534300"/>
    <w:rsid w:val="00541F72"/>
    <w:rsid w:val="0054658F"/>
    <w:rsid w:val="00550CAA"/>
    <w:rsid w:val="00562577"/>
    <w:rsid w:val="00572DA0"/>
    <w:rsid w:val="00584F88"/>
    <w:rsid w:val="005951C8"/>
    <w:rsid w:val="00601151"/>
    <w:rsid w:val="00601530"/>
    <w:rsid w:val="00603D2D"/>
    <w:rsid w:val="00607F4B"/>
    <w:rsid w:val="006315DC"/>
    <w:rsid w:val="006321F7"/>
    <w:rsid w:val="006340F7"/>
    <w:rsid w:val="006354CA"/>
    <w:rsid w:val="006541E1"/>
    <w:rsid w:val="00672AE9"/>
    <w:rsid w:val="006B21F5"/>
    <w:rsid w:val="006C55A6"/>
    <w:rsid w:val="006C7C30"/>
    <w:rsid w:val="00713D34"/>
    <w:rsid w:val="00741E61"/>
    <w:rsid w:val="00751A88"/>
    <w:rsid w:val="007A3558"/>
    <w:rsid w:val="007B32BE"/>
    <w:rsid w:val="007C1694"/>
    <w:rsid w:val="007C258B"/>
    <w:rsid w:val="00863B11"/>
    <w:rsid w:val="008903A4"/>
    <w:rsid w:val="008A0FA9"/>
    <w:rsid w:val="008C3B97"/>
    <w:rsid w:val="009112B5"/>
    <w:rsid w:val="00945E21"/>
    <w:rsid w:val="00957F5E"/>
    <w:rsid w:val="009A2DA7"/>
    <w:rsid w:val="009B55FE"/>
    <w:rsid w:val="009E789E"/>
    <w:rsid w:val="009F1D57"/>
    <w:rsid w:val="009F1E04"/>
    <w:rsid w:val="00A0172C"/>
    <w:rsid w:val="00A0688A"/>
    <w:rsid w:val="00A14FCB"/>
    <w:rsid w:val="00A23BA7"/>
    <w:rsid w:val="00A36191"/>
    <w:rsid w:val="00A3748C"/>
    <w:rsid w:val="00A4250A"/>
    <w:rsid w:val="00A47851"/>
    <w:rsid w:val="00A516B5"/>
    <w:rsid w:val="00AA3B61"/>
    <w:rsid w:val="00AA6EF6"/>
    <w:rsid w:val="00AB6493"/>
    <w:rsid w:val="00AC3B47"/>
    <w:rsid w:val="00AC6C3D"/>
    <w:rsid w:val="00AE4A09"/>
    <w:rsid w:val="00B03FE1"/>
    <w:rsid w:val="00B04B0E"/>
    <w:rsid w:val="00B06DE1"/>
    <w:rsid w:val="00B07189"/>
    <w:rsid w:val="00B114F7"/>
    <w:rsid w:val="00B13AE9"/>
    <w:rsid w:val="00B25325"/>
    <w:rsid w:val="00B502CD"/>
    <w:rsid w:val="00B62AB9"/>
    <w:rsid w:val="00B679A1"/>
    <w:rsid w:val="00B91FB9"/>
    <w:rsid w:val="00B97BAF"/>
    <w:rsid w:val="00BD64E1"/>
    <w:rsid w:val="00BE627F"/>
    <w:rsid w:val="00BF7114"/>
    <w:rsid w:val="00C00425"/>
    <w:rsid w:val="00C07B94"/>
    <w:rsid w:val="00C15C41"/>
    <w:rsid w:val="00C520DF"/>
    <w:rsid w:val="00C9641A"/>
    <w:rsid w:val="00CE176A"/>
    <w:rsid w:val="00D12FB0"/>
    <w:rsid w:val="00D71B4E"/>
    <w:rsid w:val="00DA4C37"/>
    <w:rsid w:val="00DB2EDC"/>
    <w:rsid w:val="00DD6498"/>
    <w:rsid w:val="00DE364E"/>
    <w:rsid w:val="00E21816"/>
    <w:rsid w:val="00E3699C"/>
    <w:rsid w:val="00E465B6"/>
    <w:rsid w:val="00E53A0E"/>
    <w:rsid w:val="00E734AB"/>
    <w:rsid w:val="00E90B66"/>
    <w:rsid w:val="00EB20D0"/>
    <w:rsid w:val="00EE2F61"/>
    <w:rsid w:val="00EE442C"/>
    <w:rsid w:val="00F11FE6"/>
    <w:rsid w:val="00F17D94"/>
    <w:rsid w:val="00F67247"/>
    <w:rsid w:val="00F707DD"/>
    <w:rsid w:val="00F84D04"/>
    <w:rsid w:val="00F967E3"/>
    <w:rsid w:val="00F97303"/>
    <w:rsid w:val="00FA101C"/>
    <w:rsid w:val="00FA3778"/>
    <w:rsid w:val="00FD3BA8"/>
    <w:rsid w:val="00FE506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C0399"/>
  <w15:chartTrackingRefBased/>
  <w15:docId w15:val="{38E3E36C-697E-46AF-94A7-2D7EDC495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Bibliografa">
    <w:name w:val="Bibliography"/>
    <w:basedOn w:val="Normal"/>
    <w:next w:val="Normal"/>
    <w:uiPriority w:val="37"/>
    <w:unhideWhenUsed/>
    <w:rsid w:val="00A3748C"/>
  </w:style>
  <w:style w:type="character" w:styleId="Refdecomentario">
    <w:name w:val="annotation reference"/>
    <w:basedOn w:val="Fuentedeprrafopredeter"/>
    <w:uiPriority w:val="99"/>
    <w:semiHidden/>
    <w:unhideWhenUsed/>
    <w:rsid w:val="00243696"/>
    <w:rPr>
      <w:sz w:val="16"/>
      <w:szCs w:val="16"/>
    </w:rPr>
  </w:style>
  <w:style w:type="paragraph" w:styleId="Textocomentario">
    <w:name w:val="annotation text"/>
    <w:basedOn w:val="Normal"/>
    <w:link w:val="TextocomentarioCar"/>
    <w:uiPriority w:val="99"/>
    <w:semiHidden/>
    <w:unhideWhenUsed/>
    <w:rsid w:val="0024369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43696"/>
    <w:rPr>
      <w:sz w:val="20"/>
      <w:szCs w:val="20"/>
    </w:rPr>
  </w:style>
  <w:style w:type="paragraph" w:styleId="Asuntodelcomentario">
    <w:name w:val="annotation subject"/>
    <w:basedOn w:val="Textocomentario"/>
    <w:next w:val="Textocomentario"/>
    <w:link w:val="AsuntodelcomentarioCar"/>
    <w:uiPriority w:val="99"/>
    <w:semiHidden/>
    <w:unhideWhenUsed/>
    <w:rsid w:val="00243696"/>
    <w:rPr>
      <w:b/>
      <w:bCs/>
    </w:rPr>
  </w:style>
  <w:style w:type="character" w:customStyle="1" w:styleId="AsuntodelcomentarioCar">
    <w:name w:val="Asunto del comentario Car"/>
    <w:basedOn w:val="TextocomentarioCar"/>
    <w:link w:val="Asuntodelcomentario"/>
    <w:uiPriority w:val="99"/>
    <w:semiHidden/>
    <w:rsid w:val="0024369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101343">
      <w:bodyDiv w:val="1"/>
      <w:marLeft w:val="0"/>
      <w:marRight w:val="0"/>
      <w:marTop w:val="0"/>
      <w:marBottom w:val="0"/>
      <w:divBdr>
        <w:top w:val="none" w:sz="0" w:space="0" w:color="auto"/>
        <w:left w:val="none" w:sz="0" w:space="0" w:color="auto"/>
        <w:bottom w:val="none" w:sz="0" w:space="0" w:color="auto"/>
        <w:right w:val="none" w:sz="0" w:space="0" w:color="auto"/>
      </w:divBdr>
    </w:div>
    <w:div w:id="416634737">
      <w:bodyDiv w:val="1"/>
      <w:marLeft w:val="0"/>
      <w:marRight w:val="0"/>
      <w:marTop w:val="0"/>
      <w:marBottom w:val="0"/>
      <w:divBdr>
        <w:top w:val="none" w:sz="0" w:space="0" w:color="auto"/>
        <w:left w:val="none" w:sz="0" w:space="0" w:color="auto"/>
        <w:bottom w:val="none" w:sz="0" w:space="0" w:color="auto"/>
        <w:right w:val="none" w:sz="0" w:space="0" w:color="auto"/>
      </w:divBdr>
    </w:div>
    <w:div w:id="483277427">
      <w:bodyDiv w:val="1"/>
      <w:marLeft w:val="0"/>
      <w:marRight w:val="0"/>
      <w:marTop w:val="0"/>
      <w:marBottom w:val="0"/>
      <w:divBdr>
        <w:top w:val="none" w:sz="0" w:space="0" w:color="auto"/>
        <w:left w:val="none" w:sz="0" w:space="0" w:color="auto"/>
        <w:bottom w:val="none" w:sz="0" w:space="0" w:color="auto"/>
        <w:right w:val="none" w:sz="0" w:space="0" w:color="auto"/>
      </w:divBdr>
    </w:div>
    <w:div w:id="854460375">
      <w:bodyDiv w:val="1"/>
      <w:marLeft w:val="0"/>
      <w:marRight w:val="0"/>
      <w:marTop w:val="0"/>
      <w:marBottom w:val="0"/>
      <w:divBdr>
        <w:top w:val="none" w:sz="0" w:space="0" w:color="auto"/>
        <w:left w:val="none" w:sz="0" w:space="0" w:color="auto"/>
        <w:bottom w:val="none" w:sz="0" w:space="0" w:color="auto"/>
        <w:right w:val="none" w:sz="0" w:space="0" w:color="auto"/>
      </w:divBdr>
    </w:div>
    <w:div w:id="1002126227">
      <w:bodyDiv w:val="1"/>
      <w:marLeft w:val="0"/>
      <w:marRight w:val="0"/>
      <w:marTop w:val="0"/>
      <w:marBottom w:val="0"/>
      <w:divBdr>
        <w:top w:val="none" w:sz="0" w:space="0" w:color="auto"/>
        <w:left w:val="none" w:sz="0" w:space="0" w:color="auto"/>
        <w:bottom w:val="none" w:sz="0" w:space="0" w:color="auto"/>
        <w:right w:val="none" w:sz="0" w:space="0" w:color="auto"/>
      </w:divBdr>
    </w:div>
    <w:div w:id="1066954246">
      <w:bodyDiv w:val="1"/>
      <w:marLeft w:val="0"/>
      <w:marRight w:val="0"/>
      <w:marTop w:val="0"/>
      <w:marBottom w:val="0"/>
      <w:divBdr>
        <w:top w:val="none" w:sz="0" w:space="0" w:color="auto"/>
        <w:left w:val="none" w:sz="0" w:space="0" w:color="auto"/>
        <w:bottom w:val="none" w:sz="0" w:space="0" w:color="auto"/>
        <w:right w:val="none" w:sz="0" w:space="0" w:color="auto"/>
      </w:divBdr>
    </w:div>
    <w:div w:id="1199122346">
      <w:bodyDiv w:val="1"/>
      <w:marLeft w:val="0"/>
      <w:marRight w:val="0"/>
      <w:marTop w:val="0"/>
      <w:marBottom w:val="0"/>
      <w:divBdr>
        <w:top w:val="none" w:sz="0" w:space="0" w:color="auto"/>
        <w:left w:val="none" w:sz="0" w:space="0" w:color="auto"/>
        <w:bottom w:val="none" w:sz="0" w:space="0" w:color="auto"/>
        <w:right w:val="none" w:sz="0" w:space="0" w:color="auto"/>
      </w:divBdr>
    </w:div>
    <w:div w:id="1222789262">
      <w:bodyDiv w:val="1"/>
      <w:marLeft w:val="0"/>
      <w:marRight w:val="0"/>
      <w:marTop w:val="0"/>
      <w:marBottom w:val="0"/>
      <w:divBdr>
        <w:top w:val="none" w:sz="0" w:space="0" w:color="auto"/>
        <w:left w:val="none" w:sz="0" w:space="0" w:color="auto"/>
        <w:bottom w:val="none" w:sz="0" w:space="0" w:color="auto"/>
        <w:right w:val="none" w:sz="0" w:space="0" w:color="auto"/>
      </w:divBdr>
    </w:div>
    <w:div w:id="1276862802">
      <w:bodyDiv w:val="1"/>
      <w:marLeft w:val="0"/>
      <w:marRight w:val="0"/>
      <w:marTop w:val="0"/>
      <w:marBottom w:val="0"/>
      <w:divBdr>
        <w:top w:val="none" w:sz="0" w:space="0" w:color="auto"/>
        <w:left w:val="none" w:sz="0" w:space="0" w:color="auto"/>
        <w:bottom w:val="none" w:sz="0" w:space="0" w:color="auto"/>
        <w:right w:val="none" w:sz="0" w:space="0" w:color="auto"/>
      </w:divBdr>
    </w:div>
    <w:div w:id="1294211294">
      <w:bodyDiv w:val="1"/>
      <w:marLeft w:val="0"/>
      <w:marRight w:val="0"/>
      <w:marTop w:val="0"/>
      <w:marBottom w:val="0"/>
      <w:divBdr>
        <w:top w:val="none" w:sz="0" w:space="0" w:color="auto"/>
        <w:left w:val="none" w:sz="0" w:space="0" w:color="auto"/>
        <w:bottom w:val="none" w:sz="0" w:space="0" w:color="auto"/>
        <w:right w:val="none" w:sz="0" w:space="0" w:color="auto"/>
      </w:divBdr>
    </w:div>
    <w:div w:id="1405489911">
      <w:bodyDiv w:val="1"/>
      <w:marLeft w:val="0"/>
      <w:marRight w:val="0"/>
      <w:marTop w:val="0"/>
      <w:marBottom w:val="0"/>
      <w:divBdr>
        <w:top w:val="none" w:sz="0" w:space="0" w:color="auto"/>
        <w:left w:val="none" w:sz="0" w:space="0" w:color="auto"/>
        <w:bottom w:val="none" w:sz="0" w:space="0" w:color="auto"/>
        <w:right w:val="none" w:sz="0" w:space="0" w:color="auto"/>
      </w:divBdr>
    </w:div>
    <w:div w:id="1423186588">
      <w:bodyDiv w:val="1"/>
      <w:marLeft w:val="0"/>
      <w:marRight w:val="0"/>
      <w:marTop w:val="0"/>
      <w:marBottom w:val="0"/>
      <w:divBdr>
        <w:top w:val="none" w:sz="0" w:space="0" w:color="auto"/>
        <w:left w:val="none" w:sz="0" w:space="0" w:color="auto"/>
        <w:bottom w:val="none" w:sz="0" w:space="0" w:color="auto"/>
        <w:right w:val="none" w:sz="0" w:space="0" w:color="auto"/>
      </w:divBdr>
    </w:div>
    <w:div w:id="1696611300">
      <w:bodyDiv w:val="1"/>
      <w:marLeft w:val="0"/>
      <w:marRight w:val="0"/>
      <w:marTop w:val="0"/>
      <w:marBottom w:val="0"/>
      <w:divBdr>
        <w:top w:val="none" w:sz="0" w:space="0" w:color="auto"/>
        <w:left w:val="none" w:sz="0" w:space="0" w:color="auto"/>
        <w:bottom w:val="none" w:sz="0" w:space="0" w:color="auto"/>
        <w:right w:val="none" w:sz="0" w:space="0" w:color="auto"/>
      </w:divBdr>
    </w:div>
    <w:div w:id="1697391654">
      <w:bodyDiv w:val="1"/>
      <w:marLeft w:val="0"/>
      <w:marRight w:val="0"/>
      <w:marTop w:val="0"/>
      <w:marBottom w:val="0"/>
      <w:divBdr>
        <w:top w:val="none" w:sz="0" w:space="0" w:color="auto"/>
        <w:left w:val="none" w:sz="0" w:space="0" w:color="auto"/>
        <w:bottom w:val="none" w:sz="0" w:space="0" w:color="auto"/>
        <w:right w:val="none" w:sz="0" w:space="0" w:color="auto"/>
      </w:divBdr>
    </w:div>
    <w:div w:id="1736195572">
      <w:bodyDiv w:val="1"/>
      <w:marLeft w:val="0"/>
      <w:marRight w:val="0"/>
      <w:marTop w:val="0"/>
      <w:marBottom w:val="0"/>
      <w:divBdr>
        <w:top w:val="none" w:sz="0" w:space="0" w:color="auto"/>
        <w:left w:val="none" w:sz="0" w:space="0" w:color="auto"/>
        <w:bottom w:val="none" w:sz="0" w:space="0" w:color="auto"/>
        <w:right w:val="none" w:sz="0" w:space="0" w:color="auto"/>
      </w:divBdr>
    </w:div>
    <w:div w:id="1987662723">
      <w:bodyDiv w:val="1"/>
      <w:marLeft w:val="0"/>
      <w:marRight w:val="0"/>
      <w:marTop w:val="0"/>
      <w:marBottom w:val="0"/>
      <w:divBdr>
        <w:top w:val="none" w:sz="0" w:space="0" w:color="auto"/>
        <w:left w:val="none" w:sz="0" w:space="0" w:color="auto"/>
        <w:bottom w:val="none" w:sz="0" w:space="0" w:color="auto"/>
        <w:right w:val="none" w:sz="0" w:space="0" w:color="auto"/>
      </w:divBdr>
    </w:div>
    <w:div w:id="211146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Bec11</b:Tag>
    <b:SourceType>BookSection</b:SourceType>
    <b:Guid>{135EB8A4-3916-4A70-B1BD-3FD3CC755CDD}</b:Guid>
    <b:Title>Abrumado por la bibliografía</b:Title>
    <b:Year>2011</b:Year>
    <b:City>Buenos Aires</b:City>
    <b:Publisher>Siglo Veintiuno Editores</b:Publisher>
    <b:Author>
      <b:Author>
        <b:NameList>
          <b:Person>
            <b:Last>Becker</b:Last>
            <b:First>Howard</b:First>
          </b:Person>
        </b:NameList>
      </b:Author>
      <b:BookAuthor>
        <b:NameList>
          <b:Person>
            <b:Last>Becker</b:Last>
            <b:First>Howard</b:First>
          </b:Person>
        </b:NameList>
      </b:BookAuthor>
    </b:Author>
    <b:BookTitle>Manual de escritura para científicos sociales: Cómo empezar y terminar una tesis, un libro o un artículo</b:BookTitle>
    <b:Pages>171-187</b:Pages>
    <b:RefOrder>1</b:RefOrder>
  </b:Source>
</b:Sources>
</file>

<file path=customXml/itemProps1.xml><?xml version="1.0" encoding="utf-8"?>
<ds:datastoreItem xmlns:ds="http://schemas.openxmlformats.org/officeDocument/2006/customXml" ds:itemID="{04D309AD-805F-4336-BC8D-A4BC279E1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1064</Words>
  <Characters>5857</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Leandro Norambuena</dc:creator>
  <cp:keywords/>
  <dc:description/>
  <cp:lastModifiedBy>CLAUDIO DUARTE</cp:lastModifiedBy>
  <cp:revision>2</cp:revision>
  <dcterms:created xsi:type="dcterms:W3CDTF">2021-11-10T22:05:00Z</dcterms:created>
  <dcterms:modified xsi:type="dcterms:W3CDTF">2021-11-10T22:05:00Z</dcterms:modified>
</cp:coreProperties>
</file>